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ind w:left="720" w:hanging="720"/>
        <w:rPr>
          <w:rFonts w:ascii="Verdana" w:cs="Verdana" w:eastAsia="Verdana" w:hAnsi="Verdana"/>
          <w:b w:val="0"/>
          <w:i w:val="0"/>
          <w:vertAlign w:val="baseline"/>
        </w:rPr>
      </w:pPr>
      <w:r w:rsidDel="00000000" w:rsidR="00000000" w:rsidRPr="00000000">
        <w:rPr>
          <w:rFonts w:ascii="Verdana" w:cs="Verdana" w:eastAsia="Verdana" w:hAnsi="Verdana"/>
          <w:b w:val="1"/>
          <w:vertAlign w:val="baseline"/>
          <w:rtl w:val="0"/>
        </w:rPr>
        <w:t xml:space="preserve">Model mediationovereenkomst voor de MfN-registermediator voor klanten van </w:t>
      </w:r>
      <w:r w:rsidDel="00000000" w:rsidR="00000000" w:rsidRPr="00000000">
        <w:rPr>
          <w:rFonts w:ascii="Verdana" w:cs="Verdana" w:eastAsia="Verdana" w:hAnsi="Verdana"/>
          <w:b w:val="1"/>
          <w:i w:val="1"/>
          <w:vertAlign w:val="baseline"/>
          <w:rtl w:val="0"/>
        </w:rPr>
        <w:t xml:space="preserve">uitelkaar.nl</w:t>
      </w:r>
      <w:r w:rsidDel="00000000" w:rsidR="00000000" w:rsidRPr="00000000">
        <w:rPr>
          <w:rtl w:val="0"/>
        </w:rPr>
      </w:r>
    </w:p>
    <w:p w:rsidR="00000000" w:rsidDel="00000000" w:rsidP="00000000" w:rsidRDefault="00000000" w:rsidRPr="00000000" w14:paraId="00000002">
      <w:pPr>
        <w:spacing w:line="312" w:lineRule="auto"/>
        <w:ind w:left="720" w:hanging="72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3">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4">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5">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MfN-registermediator</w:t>
      </w:r>
    </w:p>
    <w:p w:rsidR="00000000" w:rsidDel="00000000" w:rsidP="00000000" w:rsidRDefault="00000000" w:rsidRPr="00000000" w14:paraId="00000006">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7">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 de Partijen:</w:t>
      </w:r>
    </w:p>
    <w:p w:rsidR="00000000" w:rsidDel="00000000" w:rsidP="00000000" w:rsidRDefault="00000000" w:rsidRPr="00000000" w14:paraId="00000008">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9">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 …………….......................................................………………………………………………….</w:t>
      </w:r>
    </w:p>
    <w:p w:rsidR="00000000" w:rsidDel="00000000" w:rsidP="00000000" w:rsidRDefault="00000000" w:rsidRPr="00000000" w14:paraId="0000000A">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B">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w:t>
      </w:r>
    </w:p>
    <w:p w:rsidR="00000000" w:rsidDel="00000000" w:rsidP="00000000" w:rsidRDefault="00000000" w:rsidRPr="00000000" w14:paraId="0000000C">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D">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B: …………..........................................................…………………………………………………..</w:t>
      </w:r>
    </w:p>
    <w:p w:rsidR="00000000" w:rsidDel="00000000" w:rsidP="00000000" w:rsidRDefault="00000000" w:rsidRPr="00000000" w14:paraId="0000000E">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F">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0">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1">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KOMEN HIERBIJ OVEREEN:</w:t>
      </w:r>
    </w:p>
    <w:p w:rsidR="00000000" w:rsidDel="00000000" w:rsidP="00000000" w:rsidRDefault="00000000" w:rsidRPr="00000000" w14:paraId="00000012">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3">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4">
      <w:pPr>
        <w:spacing w:line="312" w:lineRule="auto"/>
        <w:ind w:left="720" w:hanging="72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1 - Globale omschrijving van de Kwestie</w:t>
      </w:r>
      <w:r w:rsidDel="00000000" w:rsidR="00000000" w:rsidRPr="00000000">
        <w:rPr>
          <w:rtl w:val="0"/>
        </w:rPr>
      </w:r>
    </w:p>
    <w:p w:rsidR="00000000" w:rsidDel="00000000" w:rsidP="00000000" w:rsidRDefault="00000000" w:rsidRPr="00000000" w14:paraId="00000015">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6">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Het maken van afspraken over de scheiding, in het bijzonder over …..</w:t>
      </w:r>
    </w:p>
    <w:p w:rsidR="00000000" w:rsidDel="00000000" w:rsidP="00000000" w:rsidRDefault="00000000" w:rsidRPr="00000000" w14:paraId="00000017">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t>
      </w:r>
    </w:p>
    <w:p w:rsidR="00000000" w:rsidDel="00000000" w:rsidP="00000000" w:rsidRDefault="00000000" w:rsidRPr="00000000" w14:paraId="00000018">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9">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A">
      <w:pPr>
        <w:spacing w:line="312" w:lineRule="auto"/>
        <w:ind w:left="720" w:hanging="72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2 - Mediation</w:t>
      </w:r>
      <w:r w:rsidDel="00000000" w:rsidR="00000000" w:rsidRPr="00000000">
        <w:rPr>
          <w:rtl w:val="0"/>
        </w:rPr>
      </w:r>
    </w:p>
    <w:p w:rsidR="00000000" w:rsidDel="00000000" w:rsidP="00000000" w:rsidRDefault="00000000" w:rsidRPr="00000000" w14:paraId="0000001B">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2.1 </w:t>
        <w:tab/>
        <w:t xml:space="preserve">De Partijen en de Mediator zullen zich inspannen om de in punt 1 genoemde Kwestie tussen de Partijen op te lossen door Mediation conform het MfN-Mediation Reglement (hierna te noemen het “Reglement”) zoals dat luidt op de datum van deze overeenkomst. Het </w:t>
      </w:r>
      <w:hyperlink r:id="rId6">
        <w:r w:rsidDel="00000000" w:rsidR="00000000" w:rsidRPr="00000000">
          <w:rPr>
            <w:rFonts w:ascii="Verdana" w:cs="Verdana" w:eastAsia="Verdana" w:hAnsi="Verdana"/>
            <w:color w:val="0563c1"/>
            <w:sz w:val="22"/>
            <w:szCs w:val="22"/>
            <w:u w:val="single"/>
            <w:vertAlign w:val="baseline"/>
            <w:rtl w:val="0"/>
          </w:rPr>
          <w:t xml:space="preserve">Reglement</w:t>
        </w:r>
      </w:hyperlink>
      <w:r w:rsidDel="00000000" w:rsidR="00000000" w:rsidRPr="00000000">
        <w:rPr>
          <w:rFonts w:ascii="Verdana" w:cs="Verdana" w:eastAsia="Verdana" w:hAnsi="Verdana"/>
          <w:sz w:val="22"/>
          <w:szCs w:val="22"/>
          <w:vertAlign w:val="baseline"/>
          <w:rtl w:val="0"/>
        </w:rPr>
        <w:t xml:space="preserve"> (waarvan een kopie aan deze overeenkomst is gehecht) maakt integraal deel uit van deze overeenkomst. De Partijen verklaren een exemplaar van de </w:t>
      </w:r>
      <w:hyperlink r:id="rId7">
        <w:r w:rsidDel="00000000" w:rsidR="00000000" w:rsidRPr="00000000">
          <w:rPr>
            <w:rFonts w:ascii="Verdana" w:cs="Verdana" w:eastAsia="Verdana" w:hAnsi="Verdana"/>
            <w:color w:val="0563c1"/>
            <w:sz w:val="22"/>
            <w:szCs w:val="22"/>
            <w:u w:val="single"/>
            <w:vertAlign w:val="baseline"/>
            <w:rtl w:val="0"/>
          </w:rPr>
          <w:t xml:space="preserve">Gedragsregels voor de MfN-registermediator</w:t>
        </w:r>
      </w:hyperlink>
      <w:r w:rsidDel="00000000" w:rsidR="00000000" w:rsidRPr="00000000">
        <w:rPr>
          <w:rFonts w:ascii="Verdana" w:cs="Verdana" w:eastAsia="Verdana" w:hAnsi="Verdana"/>
          <w:sz w:val="22"/>
          <w:szCs w:val="22"/>
          <w:vertAlign w:val="baseline"/>
          <w:rtl w:val="0"/>
        </w:rPr>
        <w:t xml:space="preserve"> te hebben ontvangen.</w:t>
      </w:r>
    </w:p>
    <w:p w:rsidR="00000000" w:rsidDel="00000000" w:rsidP="00000000" w:rsidRDefault="00000000" w:rsidRPr="00000000" w14:paraId="0000001C">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2.2</w:t>
        <w:tab/>
        <w:t xml:space="preserve">De Partijen verstrekken en de Mediator accepteert de opdracht om het communicatie- en onderhandelingsproces te begeleiden een en ander in de zin van het Reglement.</w:t>
      </w:r>
    </w:p>
    <w:p w:rsidR="00000000" w:rsidDel="00000000" w:rsidP="00000000" w:rsidRDefault="00000000" w:rsidRPr="00000000" w14:paraId="0000001D">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2.3</w:t>
        <w:tab/>
        <w:t xml:space="preserve">De Mediator is verantwoordelijk voor de begeleiding van het proces. De Partijen zijn zelf verantwoordelijk voor de inhoud van de gevonden oplossing. </w:t>
      </w:r>
    </w:p>
    <w:p w:rsidR="00000000" w:rsidDel="00000000" w:rsidP="00000000" w:rsidRDefault="00000000" w:rsidRPr="00000000" w14:paraId="0000001E">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2.4</w:t>
        <w:tab/>
        <w:t xml:space="preserve">De Partijen en de Mediator verbinden zich jegens elkaar tot al hetgeen waartoe zij ingevolge het Reglement gehouden zijn.</w:t>
      </w:r>
    </w:p>
    <w:p w:rsidR="00000000" w:rsidDel="00000000" w:rsidP="00000000" w:rsidRDefault="00000000" w:rsidRPr="00000000" w14:paraId="0000001F">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2.5</w:t>
        <w:tab/>
        <w:t xml:space="preserve">De Mediation vangt aan op de datum van ondertekening van deze overeenkomst. Vanaf dat moment zijn de bepalingen van het Reglement volledig van toepassing.</w:t>
      </w:r>
    </w:p>
    <w:p w:rsidR="00000000" w:rsidDel="00000000" w:rsidP="00000000" w:rsidRDefault="00000000" w:rsidRPr="00000000" w14:paraId="00000020">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2.6</w:t>
        <w:tab/>
        <w:t xml:space="preserve">Naast het gestelde in het Reglement verbinden de Partijen zich jegens de Mediator en jegens elkaar zich te onthouden van acties of gedragingen die de Mediation in ernstige mate bemoeilijken of belemmeren. </w:t>
      </w:r>
    </w:p>
    <w:p w:rsidR="00000000" w:rsidDel="00000000" w:rsidP="00000000" w:rsidRDefault="00000000" w:rsidRPr="00000000" w14:paraId="00000021">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2">
      <w:pPr>
        <w:spacing w:line="312" w:lineRule="auto"/>
        <w:ind w:left="720" w:hanging="72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3 - Vrijwilligheid</w:t>
      </w:r>
      <w:r w:rsidDel="00000000" w:rsidR="00000000" w:rsidRPr="00000000">
        <w:rPr>
          <w:rtl w:val="0"/>
        </w:rPr>
      </w:r>
    </w:p>
    <w:p w:rsidR="00000000" w:rsidDel="00000000" w:rsidP="00000000" w:rsidRDefault="00000000" w:rsidRPr="00000000" w14:paraId="00000023">
      <w:pPr>
        <w:spacing w:line="312" w:lineRule="auto"/>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De Mediation vindt plaats op basis van vrijwilligheid. Het staat elk der Partijen en de Mediator vrij om de Mediation op elk gewenst moment te beëindigen. Beëindiging geschiedt uitsluitend door een schrijven gericht aan de Mediator en de andere partij(en). Dit schrijven kan worden toegelicht tijdens een gezamenlijke (slot)bijeenkomst met de Mediator. Het beëindigen van de Mediation laat de geheimhoudings- en betalingsverplichtingen van de Partijen onverlet.</w:t>
      </w:r>
    </w:p>
    <w:p w:rsidR="00000000" w:rsidDel="00000000" w:rsidP="00000000" w:rsidRDefault="00000000" w:rsidRPr="00000000" w14:paraId="00000024">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5">
      <w:pPr>
        <w:spacing w:line="312" w:lineRule="auto"/>
        <w:ind w:left="720" w:hanging="72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4 - Geheimhouding</w:t>
      </w:r>
      <w:r w:rsidDel="00000000" w:rsidR="00000000" w:rsidRPr="00000000">
        <w:rPr>
          <w:rtl w:val="0"/>
        </w:rPr>
      </w:r>
    </w:p>
    <w:p w:rsidR="00000000" w:rsidDel="00000000" w:rsidP="00000000" w:rsidRDefault="00000000" w:rsidRPr="00000000" w14:paraId="00000026">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4.1</w:t>
        <w:tab/>
        <w:t xml:space="preserve">Mediator en de Partijen verplichten zich zonder enig voorbehoud tot de geheimhouding zoals omschreven in artikel 7 en 10 van het Reglement. </w:t>
      </w:r>
    </w:p>
    <w:p w:rsidR="00000000" w:rsidDel="00000000" w:rsidP="00000000" w:rsidRDefault="00000000" w:rsidRPr="00000000" w14:paraId="00000027">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4.2 </w:t>
        <w:tab/>
        <w:t xml:space="preserve">Om deze geheimhouding te waarborgen bevestigen de ondergetekenden dat zij geen gebruik zullen maken van geluids- of beeldopnamen van de mediationgesprekken, telefoongesprekken of andere activiteiten die in het kader van de mediation plaatsvinden.</w:t>
      </w:r>
    </w:p>
    <w:p w:rsidR="00000000" w:rsidDel="00000000" w:rsidP="00000000" w:rsidRDefault="00000000" w:rsidRPr="00000000" w14:paraId="00000028">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4.3</w:t>
        <w:tab/>
        <w:t xml:space="preserve">Partijen geven toestemming aan de werknemers van Justice42 B.V. belast met het casemanagement op </w:t>
      </w:r>
      <w:r w:rsidDel="00000000" w:rsidR="00000000" w:rsidRPr="00000000">
        <w:rPr>
          <w:rFonts w:ascii="Verdana" w:cs="Verdana" w:eastAsia="Verdana" w:hAnsi="Verdana"/>
          <w:i w:val="1"/>
          <w:sz w:val="22"/>
          <w:szCs w:val="22"/>
          <w:vertAlign w:val="baseline"/>
          <w:rtl w:val="0"/>
        </w:rPr>
        <w:t xml:space="preserve">uitelkaar.nl</w:t>
      </w:r>
      <w:r w:rsidDel="00000000" w:rsidR="00000000" w:rsidRPr="00000000">
        <w:rPr>
          <w:rFonts w:ascii="Verdana" w:cs="Verdana" w:eastAsia="Verdana" w:hAnsi="Verdana"/>
          <w:sz w:val="22"/>
          <w:szCs w:val="22"/>
          <w:vertAlign w:val="baseline"/>
          <w:rtl w:val="0"/>
        </w:rPr>
        <w:t xml:space="preserve"> om de mediator te ondersteunen in de zin van artikel 6.1 van het Reglement. Deze werknemers zijn allen gehouden aan geheimhouding.</w:t>
      </w:r>
    </w:p>
    <w:p w:rsidR="00000000" w:rsidDel="00000000" w:rsidP="00000000" w:rsidRDefault="00000000" w:rsidRPr="00000000" w14:paraId="00000029">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4.4</w:t>
        <w:tab/>
        <w:t xml:space="preserve">Deze overeenkomst geldt in samenhang met het Reglement als een bewijsovereenkomst in de zin van de wet, zie art. 7:900 BW jo. art. 153 Rv. Mediator en de Partijen hebben de bedoeling om daarmee op onderdelen af te wijken van het wettelijk geldende bewijsrecht om daarmee de gewenste vertrouwelijkheid te waarborgen.</w:t>
      </w:r>
    </w:p>
    <w:p w:rsidR="00000000" w:rsidDel="00000000" w:rsidP="00000000" w:rsidRDefault="00000000" w:rsidRPr="00000000" w14:paraId="0000002A">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B">
      <w:pPr>
        <w:spacing w:line="312" w:lineRule="auto"/>
        <w:ind w:left="720" w:hanging="72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5 - Vertegenwoordiging</w:t>
      </w:r>
      <w:r w:rsidDel="00000000" w:rsidR="00000000" w:rsidRPr="00000000">
        <w:rPr>
          <w:rtl w:val="0"/>
        </w:rPr>
      </w:r>
    </w:p>
    <w:p w:rsidR="00000000" w:rsidDel="00000000" w:rsidP="00000000" w:rsidRDefault="00000000" w:rsidRPr="00000000" w14:paraId="0000002C">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5.1</w:t>
        <w:tab/>
        <w:t xml:space="preserve">Natuurlijke personen zijn zelf aanwezig bij de bijeenkomsten. Rechtspersonen worden vertegenwoordigd conform punt 5.2. De persoon die deze overeenkomst tekent zal bij de bijeenkomsten aanwezig zijn. </w:t>
      </w:r>
    </w:p>
    <w:p w:rsidR="00000000" w:rsidDel="00000000" w:rsidP="00000000" w:rsidRDefault="00000000" w:rsidRPr="00000000" w14:paraId="0000002D">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5.2</w:t>
        <w:tab/>
        <w:t xml:space="preserve">Elk der Partijen staat ervoor in dat haar vertegenwoordiger rechtsgeldig bevoegd is om namens haar alle rechtshandelingen te verrichten die in het kader van de Mediation noodzakelijk zijn, het aangaan van een overeenkomst als bedoeld in punt 7.1 daaronder begrepen, alsmede dat de vertegenwoordiger zich zal houden aan de in het Reglement genoemde geheimhouding.</w:t>
      </w:r>
    </w:p>
    <w:p w:rsidR="00000000" w:rsidDel="00000000" w:rsidP="00000000" w:rsidRDefault="00000000" w:rsidRPr="00000000" w14:paraId="0000002E">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F">
      <w:pPr>
        <w:spacing w:line="312" w:lineRule="auto"/>
        <w:ind w:left="720" w:hanging="72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6 - Honoraria en kosten</w:t>
      </w:r>
      <w:r w:rsidDel="00000000" w:rsidR="00000000" w:rsidRPr="00000000">
        <w:rPr>
          <w:rtl w:val="0"/>
        </w:rPr>
      </w:r>
    </w:p>
    <w:p w:rsidR="00000000" w:rsidDel="00000000" w:rsidP="00000000" w:rsidRDefault="00000000" w:rsidRPr="00000000" w14:paraId="00000030">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6.1 </w:t>
        <w:tab/>
        <w:t xml:space="preserve">De kosten voor mediation via </w:t>
      </w:r>
      <w:r w:rsidDel="00000000" w:rsidR="00000000" w:rsidRPr="00000000">
        <w:rPr>
          <w:rFonts w:ascii="Verdana" w:cs="Verdana" w:eastAsia="Verdana" w:hAnsi="Verdana"/>
          <w:i w:val="1"/>
          <w:sz w:val="22"/>
          <w:szCs w:val="22"/>
          <w:vertAlign w:val="baseline"/>
          <w:rtl w:val="0"/>
        </w:rPr>
        <w:t xml:space="preserve">uitelkaar.nl</w:t>
      </w:r>
      <w:r w:rsidDel="00000000" w:rsidR="00000000" w:rsidRPr="00000000">
        <w:rPr>
          <w:rFonts w:ascii="Verdana" w:cs="Verdana" w:eastAsia="Verdana" w:hAnsi="Verdana"/>
          <w:sz w:val="22"/>
          <w:szCs w:val="22"/>
          <w:vertAlign w:val="baseline"/>
          <w:rtl w:val="0"/>
        </w:rPr>
        <w:t xml:space="preserve"> staan vermeld op de website van </w:t>
      </w:r>
      <w:r w:rsidDel="00000000" w:rsidR="00000000" w:rsidRPr="00000000">
        <w:rPr>
          <w:rFonts w:ascii="Verdana" w:cs="Verdana" w:eastAsia="Verdana" w:hAnsi="Verdana"/>
          <w:i w:val="1"/>
          <w:sz w:val="22"/>
          <w:szCs w:val="22"/>
          <w:vertAlign w:val="baseline"/>
          <w:rtl w:val="0"/>
        </w:rPr>
        <w:t xml:space="preserve">uitelkaar.nl</w:t>
      </w:r>
      <w:r w:rsidDel="00000000" w:rsidR="00000000" w:rsidRPr="00000000">
        <w:rPr>
          <w:rFonts w:ascii="Verdana" w:cs="Verdana" w:eastAsia="Verdana" w:hAnsi="Verdana"/>
          <w:sz w:val="22"/>
          <w:szCs w:val="22"/>
          <w:vertAlign w:val="baseline"/>
          <w:rtl w:val="0"/>
        </w:rPr>
        <w:t xml:space="preserve">. Deze worden via betaling op het platform </w:t>
      </w:r>
      <w:r w:rsidDel="00000000" w:rsidR="00000000" w:rsidRPr="00000000">
        <w:rPr>
          <w:rFonts w:ascii="Verdana" w:cs="Verdana" w:eastAsia="Verdana" w:hAnsi="Verdana"/>
          <w:i w:val="1"/>
          <w:sz w:val="22"/>
          <w:szCs w:val="22"/>
          <w:vertAlign w:val="baseline"/>
          <w:rtl w:val="0"/>
        </w:rPr>
        <w:t xml:space="preserve">uitelkaar.nl</w:t>
      </w:r>
      <w:r w:rsidDel="00000000" w:rsidR="00000000" w:rsidRPr="00000000">
        <w:rPr>
          <w:rFonts w:ascii="Verdana" w:cs="Verdana" w:eastAsia="Verdana" w:hAnsi="Verdana"/>
          <w:sz w:val="22"/>
          <w:szCs w:val="22"/>
          <w:vertAlign w:val="baseline"/>
          <w:rtl w:val="0"/>
        </w:rPr>
        <w:t xml:space="preserve"> voldaan. Het honorarium van de mediator is inbegrepen in de kosten. Onder het honorarium voor de werkzaamheden vallen de volgende activiteiten van de Mediator: inlezen in het dossier op </w:t>
      </w:r>
      <w:r w:rsidDel="00000000" w:rsidR="00000000" w:rsidRPr="00000000">
        <w:rPr>
          <w:rFonts w:ascii="Verdana" w:cs="Verdana" w:eastAsia="Verdana" w:hAnsi="Verdana"/>
          <w:i w:val="1"/>
          <w:sz w:val="22"/>
          <w:szCs w:val="22"/>
          <w:vertAlign w:val="baseline"/>
          <w:rtl w:val="0"/>
        </w:rPr>
        <w:t xml:space="preserve">uitelkaar.nl</w:t>
      </w:r>
      <w:r w:rsidDel="00000000" w:rsidR="00000000" w:rsidRPr="00000000">
        <w:rPr>
          <w:rFonts w:ascii="Verdana" w:cs="Verdana" w:eastAsia="Verdana" w:hAnsi="Verdana"/>
          <w:sz w:val="22"/>
          <w:szCs w:val="22"/>
          <w:vertAlign w:val="baseline"/>
          <w:rtl w:val="0"/>
        </w:rPr>
        <w:t xml:space="preserve">, twee mediationgesprekken tijdens de fase dat partijen samenwerken aan afspraken op </w:t>
      </w:r>
      <w:r w:rsidDel="00000000" w:rsidR="00000000" w:rsidRPr="00000000">
        <w:rPr>
          <w:rFonts w:ascii="Verdana" w:cs="Verdana" w:eastAsia="Verdana" w:hAnsi="Verdana"/>
          <w:i w:val="1"/>
          <w:sz w:val="22"/>
          <w:szCs w:val="22"/>
          <w:vertAlign w:val="baseline"/>
          <w:rtl w:val="0"/>
        </w:rPr>
        <w:t xml:space="preserve">uitelkaar.nl</w:t>
      </w:r>
      <w:r w:rsidDel="00000000" w:rsidR="00000000" w:rsidRPr="00000000">
        <w:rPr>
          <w:rFonts w:ascii="Verdana" w:cs="Verdana" w:eastAsia="Verdana" w:hAnsi="Verdana"/>
          <w:sz w:val="22"/>
          <w:szCs w:val="22"/>
          <w:vertAlign w:val="baseline"/>
          <w:rtl w:val="0"/>
        </w:rPr>
        <w:t xml:space="preserve">, het beoordelen van die afspraken tijdens de review, een afrondend gesprek en als relevant indiening van de afspraken bij de rechtbank. </w:t>
      </w:r>
    </w:p>
    <w:p w:rsidR="00000000" w:rsidDel="00000000" w:rsidP="00000000" w:rsidRDefault="00000000" w:rsidRPr="00000000" w14:paraId="00000031">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6.2</w:t>
        <w:tab/>
        <w:t xml:space="preserve">Het is binnen </w:t>
      </w:r>
      <w:r w:rsidDel="00000000" w:rsidR="00000000" w:rsidRPr="00000000">
        <w:rPr>
          <w:rFonts w:ascii="Verdana" w:cs="Verdana" w:eastAsia="Verdana" w:hAnsi="Verdana"/>
          <w:i w:val="1"/>
          <w:sz w:val="22"/>
          <w:szCs w:val="22"/>
          <w:vertAlign w:val="baseline"/>
          <w:rtl w:val="0"/>
        </w:rPr>
        <w:t xml:space="preserve">uitelkaar.nl</w:t>
      </w:r>
      <w:r w:rsidDel="00000000" w:rsidR="00000000" w:rsidRPr="00000000">
        <w:rPr>
          <w:rFonts w:ascii="Verdana" w:cs="Verdana" w:eastAsia="Verdana" w:hAnsi="Verdana"/>
          <w:sz w:val="22"/>
          <w:szCs w:val="22"/>
          <w:vertAlign w:val="baseline"/>
          <w:rtl w:val="0"/>
        </w:rPr>
        <w:t xml:space="preserve"> mogelijk om tegen een vast tarief extra gesprekken af te nemen.</w:t>
      </w:r>
    </w:p>
    <w:p w:rsidR="00000000" w:rsidDel="00000000" w:rsidP="00000000" w:rsidRDefault="00000000" w:rsidRPr="00000000" w14:paraId="00000032">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3">
      <w:pPr>
        <w:spacing w:line="312" w:lineRule="auto"/>
        <w:ind w:left="720" w:hanging="72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7 - Vastlegging van het resultaat van de Mediation en tussentijdse afspraken</w:t>
      </w:r>
      <w:r w:rsidDel="00000000" w:rsidR="00000000" w:rsidRPr="00000000">
        <w:rPr>
          <w:rtl w:val="0"/>
        </w:rPr>
      </w:r>
    </w:p>
    <w:p w:rsidR="00000000" w:rsidDel="00000000" w:rsidP="00000000" w:rsidRDefault="00000000" w:rsidRPr="00000000" w14:paraId="00000034">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7.1</w:t>
        <w:tab/>
        <w:t xml:space="preserve">Een in der minne bereikte oplossing van de Kwestie zal tussen de Partijen worden vastgelegd in afspraken op het platform </w:t>
      </w:r>
      <w:r w:rsidDel="00000000" w:rsidR="00000000" w:rsidRPr="00000000">
        <w:rPr>
          <w:rFonts w:ascii="Verdana" w:cs="Verdana" w:eastAsia="Verdana" w:hAnsi="Verdana"/>
          <w:i w:val="1"/>
          <w:sz w:val="22"/>
          <w:szCs w:val="22"/>
          <w:vertAlign w:val="baseline"/>
          <w:rtl w:val="0"/>
        </w:rPr>
        <w:t xml:space="preserve">uitelkaar.nl</w:t>
      </w:r>
      <w:r w:rsidDel="00000000" w:rsidR="00000000" w:rsidRPr="00000000">
        <w:rPr>
          <w:rFonts w:ascii="Verdana" w:cs="Verdana" w:eastAsia="Verdana" w:hAnsi="Verdana"/>
          <w:sz w:val="22"/>
          <w:szCs w:val="22"/>
          <w:vertAlign w:val="baseline"/>
          <w:rtl w:val="0"/>
        </w:rPr>
        <w:t xml:space="preserve">.</w:t>
      </w:r>
    </w:p>
    <w:p w:rsidR="00000000" w:rsidDel="00000000" w:rsidP="00000000" w:rsidRDefault="00000000" w:rsidRPr="00000000" w14:paraId="00000035">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7.2</w:t>
        <w:tab/>
        <w:t xml:space="preserve">Tijdens de loop van de Mediation tussen de Partijen gemaakte afspraken binden hen alleen voor zover deze schriftelijk tussen hen zijn vastgelegd, door hen zijn ondertekend en daarin uitdrukkelijk is opgenomen dat de afspraken blijven bestaan ook indien de Mediation verder niet tot overeenstemming leidt.</w:t>
      </w:r>
    </w:p>
    <w:p w:rsidR="00000000" w:rsidDel="00000000" w:rsidP="00000000" w:rsidRDefault="00000000" w:rsidRPr="00000000" w14:paraId="00000036">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7">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8">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9">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A">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B">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C">
      <w:pPr>
        <w:spacing w:line="312" w:lineRule="auto"/>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D">
      <w:pPr>
        <w:spacing w:line="312" w:lineRule="auto"/>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E">
      <w:pPr>
        <w:spacing w:line="312" w:lineRule="auto"/>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F">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Aldus overeengekomen en in ………...-voud opgemaakt en ondertekend</w:t>
      </w:r>
    </w:p>
    <w:p w:rsidR="00000000" w:rsidDel="00000000" w:rsidP="00000000" w:rsidRDefault="00000000" w:rsidRPr="00000000" w14:paraId="00000040">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1">
      <w:pPr>
        <w:spacing w:line="312" w:lineRule="auto"/>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op ………………………………................................... te ………..............………</w:t>
      </w:r>
    </w:p>
    <w:p w:rsidR="00000000" w:rsidDel="00000000" w:rsidP="00000000" w:rsidRDefault="00000000" w:rsidRPr="00000000" w14:paraId="00000042">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3">
      <w:pPr>
        <w:spacing w:line="312" w:lineRule="auto"/>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4">
      <w:pPr>
        <w:tabs>
          <w:tab w:val="left" w:pos="-1440"/>
          <w:tab w:val="left" w:pos="-720"/>
        </w:tabs>
        <w:spacing w:line="288" w:lineRule="auto"/>
        <w:ind w:left="709" w:hanging="709"/>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5">
      <w:pPr>
        <w:tabs>
          <w:tab w:val="left" w:pos="-1440"/>
          <w:tab w:val="left" w:pos="-720"/>
        </w:tabs>
        <w:spacing w:line="288" w:lineRule="auto"/>
        <w:ind w:left="709" w:hanging="709"/>
        <w:jc w:val="both"/>
        <w:rPr>
          <w:rFonts w:ascii="Verdana" w:cs="Verdana" w:eastAsia="Verdana" w:hAnsi="Verdana"/>
          <w:sz w:val="22"/>
          <w:szCs w:val="22"/>
          <w:vertAlign w:val="baseline"/>
        </w:rPr>
      </w:pPr>
      <w:r w:rsidDel="00000000" w:rsidR="00000000" w:rsidRPr="00000000">
        <w:rPr>
          <w:rtl w:val="0"/>
        </w:rPr>
      </w:r>
    </w:p>
    <w:tbl>
      <w:tblPr>
        <w:tblStyle w:val="Table1"/>
        <w:tblW w:w="9210.0" w:type="dxa"/>
        <w:jc w:val="left"/>
        <w:tblInd w:w="0.0" w:type="dxa"/>
        <w:tblLayout w:type="fixed"/>
        <w:tblLook w:val="0000"/>
      </w:tblPr>
      <w:tblGrid>
        <w:gridCol w:w="3070"/>
        <w:gridCol w:w="3070"/>
        <w:gridCol w:w="3070"/>
        <w:tblGridChange w:id="0">
          <w:tblGrid>
            <w:gridCol w:w="3070"/>
            <w:gridCol w:w="3070"/>
            <w:gridCol w:w="3070"/>
          </w:tblGrid>
        </w:tblGridChange>
      </w:tblGrid>
      <w:tr>
        <w:tc>
          <w:tcPr>
            <w:vAlign w:val="top"/>
          </w:tcPr>
          <w:p w:rsidR="00000000" w:rsidDel="00000000" w:rsidP="00000000" w:rsidRDefault="00000000" w:rsidRPr="00000000" w14:paraId="00000046">
            <w:pPr>
              <w:tabs>
                <w:tab w:val="left" w:pos="-1440"/>
                <w:tab w:val="left" w:pos="-720"/>
              </w:tabs>
              <w:spacing w:line="288" w:lineRule="auto"/>
              <w:ind w:left="709" w:hanging="709"/>
              <w:jc w:val="both"/>
              <w:rPr>
                <w:rFonts w:ascii="Verdana" w:cs="Verdana" w:eastAsia="Verdana" w:hAnsi="Verdana"/>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tabs>
                <w:tab w:val="left" w:pos="-1440"/>
                <w:tab w:val="left" w:pos="-720"/>
              </w:tabs>
              <w:spacing w:line="288" w:lineRule="auto"/>
              <w:ind w:left="709" w:hanging="709"/>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(namens)</w:t>
            </w:r>
          </w:p>
        </w:tc>
        <w:tc>
          <w:tcPr>
            <w:vAlign w:val="top"/>
          </w:tcPr>
          <w:p w:rsidR="00000000" w:rsidDel="00000000" w:rsidP="00000000" w:rsidRDefault="00000000" w:rsidRPr="00000000" w14:paraId="00000048">
            <w:pPr>
              <w:tabs>
                <w:tab w:val="left" w:pos="-1440"/>
                <w:tab w:val="left" w:pos="-720"/>
              </w:tabs>
              <w:spacing w:line="288" w:lineRule="auto"/>
              <w:ind w:left="709" w:hanging="709"/>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(namens):</w:t>
            </w:r>
          </w:p>
        </w:tc>
      </w:tr>
      <w:tr>
        <w:tc>
          <w:tcPr>
            <w:vAlign w:val="top"/>
          </w:tcPr>
          <w:p w:rsidR="00000000" w:rsidDel="00000000" w:rsidP="00000000" w:rsidRDefault="00000000" w:rsidRPr="00000000" w14:paraId="00000049">
            <w:pPr>
              <w:tabs>
                <w:tab w:val="left" w:pos="-1440"/>
                <w:tab w:val="left" w:pos="-720"/>
              </w:tabs>
              <w:spacing w:line="288" w:lineRule="auto"/>
              <w:ind w:left="709" w:hanging="709"/>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Mediator:</w:t>
            </w:r>
            <w:r w:rsidDel="00000000" w:rsidR="00000000" w:rsidRPr="00000000">
              <w:rPr>
                <w:rtl w:val="0"/>
              </w:rPr>
            </w:r>
          </w:p>
        </w:tc>
        <w:tc>
          <w:tcPr>
            <w:vAlign w:val="top"/>
          </w:tcPr>
          <w:p w:rsidR="00000000" w:rsidDel="00000000" w:rsidP="00000000" w:rsidRDefault="00000000" w:rsidRPr="00000000" w14:paraId="0000004A">
            <w:pPr>
              <w:tabs>
                <w:tab w:val="left" w:pos="-1440"/>
                <w:tab w:val="left" w:pos="-720"/>
              </w:tabs>
              <w:spacing w:line="288" w:lineRule="auto"/>
              <w:ind w:left="709" w:hanging="709"/>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Partij A</w:t>
            </w:r>
            <w:r w:rsidDel="00000000" w:rsidR="00000000" w:rsidRPr="00000000">
              <w:rPr>
                <w:rtl w:val="0"/>
              </w:rPr>
            </w:r>
          </w:p>
        </w:tc>
        <w:tc>
          <w:tcPr>
            <w:vAlign w:val="top"/>
          </w:tcPr>
          <w:p w:rsidR="00000000" w:rsidDel="00000000" w:rsidP="00000000" w:rsidRDefault="00000000" w:rsidRPr="00000000" w14:paraId="0000004B">
            <w:pPr>
              <w:tabs>
                <w:tab w:val="left" w:pos="-1440"/>
                <w:tab w:val="left" w:pos="-720"/>
              </w:tabs>
              <w:spacing w:line="288" w:lineRule="auto"/>
              <w:ind w:left="709" w:hanging="709"/>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Partij B</w:t>
            </w:r>
            <w:r w:rsidDel="00000000" w:rsidR="00000000" w:rsidRPr="00000000">
              <w:rPr>
                <w:rtl w:val="0"/>
              </w:rPr>
            </w:r>
          </w:p>
        </w:tc>
      </w:tr>
      <w:tr>
        <w:trPr>
          <w:trHeight w:val="1502" w:hRule="atLeast"/>
        </w:trPr>
        <w:tc>
          <w:tcPr/>
          <w:p w:rsidR="00000000" w:rsidDel="00000000" w:rsidP="00000000" w:rsidRDefault="00000000" w:rsidRPr="00000000" w14:paraId="0000004C">
            <w:pPr>
              <w:tabs>
                <w:tab w:val="left" w:pos="-1440"/>
                <w:tab w:val="left" w:pos="-720"/>
              </w:tabs>
              <w:spacing w:line="288" w:lineRule="auto"/>
              <w:ind w:left="709" w:hanging="709"/>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t>
            </w:r>
          </w:p>
        </w:tc>
        <w:tc>
          <w:tcPr/>
          <w:p w:rsidR="00000000" w:rsidDel="00000000" w:rsidP="00000000" w:rsidRDefault="00000000" w:rsidRPr="00000000" w14:paraId="0000004D">
            <w:pPr>
              <w:tabs>
                <w:tab w:val="left" w:pos="-1440"/>
                <w:tab w:val="left" w:pos="-720"/>
              </w:tabs>
              <w:spacing w:line="288" w:lineRule="auto"/>
              <w:ind w:left="709" w:hanging="709"/>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t>
            </w:r>
          </w:p>
        </w:tc>
        <w:tc>
          <w:tcPr/>
          <w:p w:rsidR="00000000" w:rsidDel="00000000" w:rsidP="00000000" w:rsidRDefault="00000000" w:rsidRPr="00000000" w14:paraId="0000004E">
            <w:pPr>
              <w:tabs>
                <w:tab w:val="left" w:pos="-1440"/>
                <w:tab w:val="left" w:pos="-720"/>
              </w:tabs>
              <w:spacing w:line="288" w:lineRule="auto"/>
              <w:ind w:left="709" w:hanging="709"/>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t>
            </w:r>
          </w:p>
        </w:tc>
      </w:tr>
      <w:tr>
        <w:tc>
          <w:tcPr>
            <w:vAlign w:val="top"/>
          </w:tcPr>
          <w:p w:rsidR="00000000" w:rsidDel="00000000" w:rsidP="00000000" w:rsidRDefault="00000000" w:rsidRPr="00000000" w14:paraId="0000004F">
            <w:pPr>
              <w:tabs>
                <w:tab w:val="left" w:pos="-1440"/>
                <w:tab w:val="left" w:pos="-720"/>
              </w:tabs>
              <w:spacing w:line="288" w:lineRule="auto"/>
              <w:ind w:left="709" w:hanging="709"/>
              <w:jc w:val="both"/>
              <w:rPr>
                <w:rFonts w:ascii="Verdana" w:cs="Verdana" w:eastAsia="Verdana" w:hAnsi="Verdana"/>
                <w:sz w:val="22"/>
                <w:szCs w:val="22"/>
                <w:vertAlign w:val="baseline"/>
              </w:rPr>
            </w:pPr>
            <w:r w:rsidDel="00000000" w:rsidR="00000000" w:rsidRPr="00000000">
              <w:rPr>
                <w:rtl w:val="0"/>
              </w:rPr>
            </w:r>
          </w:p>
        </w:tc>
        <w:tc>
          <w:tcPr>
            <w:vAlign w:val="top"/>
          </w:tcPr>
          <w:p w:rsidR="00000000" w:rsidDel="00000000" w:rsidP="00000000" w:rsidRDefault="00000000" w:rsidRPr="00000000" w14:paraId="00000050">
            <w:pPr>
              <w:tabs>
                <w:tab w:val="left" w:pos="-1440"/>
                <w:tab w:val="left" w:pos="-720"/>
              </w:tabs>
              <w:spacing w:line="288" w:lineRule="auto"/>
              <w:ind w:left="709" w:hanging="709"/>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t>
            </w:r>
          </w:p>
        </w:tc>
        <w:tc>
          <w:tcPr>
            <w:vAlign w:val="top"/>
          </w:tcPr>
          <w:p w:rsidR="00000000" w:rsidDel="00000000" w:rsidP="00000000" w:rsidRDefault="00000000" w:rsidRPr="00000000" w14:paraId="00000051">
            <w:pPr>
              <w:tabs>
                <w:tab w:val="left" w:pos="-1440"/>
                <w:tab w:val="left" w:pos="-720"/>
              </w:tabs>
              <w:spacing w:line="288" w:lineRule="auto"/>
              <w:ind w:left="709" w:hanging="709"/>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t>
            </w:r>
          </w:p>
        </w:tc>
      </w:tr>
    </w:tbl>
    <w:p w:rsidR="00000000" w:rsidDel="00000000" w:rsidP="00000000" w:rsidRDefault="00000000" w:rsidRPr="00000000" w14:paraId="00000052">
      <w:pPr>
        <w:tabs>
          <w:tab w:val="left" w:pos="-1440"/>
          <w:tab w:val="left" w:pos="-720"/>
        </w:tabs>
        <w:spacing w:line="288" w:lineRule="auto"/>
        <w:ind w:left="709" w:hanging="709"/>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54">
      <w:pPr>
        <w:spacing w:line="312" w:lineRule="auto"/>
        <w:ind w:left="720" w:hanging="720"/>
        <w:rPr>
          <w:rFonts w:ascii="Verdana" w:cs="Verdana" w:eastAsia="Verdana" w:hAnsi="Verdana"/>
          <w:sz w:val="22"/>
          <w:szCs w:val="22"/>
          <w:vertAlign w:val="baseline"/>
        </w:rPr>
      </w:pPr>
      <w:r w:rsidDel="00000000" w:rsidR="00000000" w:rsidRPr="00000000">
        <w:rPr>
          <w:rtl w:val="0"/>
        </w:rPr>
      </w:r>
    </w:p>
    <w:sectPr>
      <w:headerReference r:id="rId8" w:type="default"/>
      <w:footerReference r:id="rId9" w:type="default"/>
      <w:pgSz w:h="15840" w:w="12240" w:orient="portrait"/>
      <w:pgMar w:bottom="1418" w:top="2330" w:left="1418" w:right="1418"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Arial-BoldMT"/>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pagina </w:t>
    </w:r>
    <w:r w:rsidDel="00000000" w:rsidR="00000000" w:rsidRPr="00000000">
      <w:rPr>
        <w:rFonts w:ascii="Georgia" w:cs="Georgia" w:eastAsia="Georgia" w:hAnsi="Georgi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 van </w:t>
    </w:r>
    <w:r w:rsidDel="00000000" w:rsidR="00000000" w:rsidRPr="00000000">
      <w:rPr>
        <w:rFonts w:ascii="Georgia" w:cs="Georgia" w:eastAsia="Georgia" w:hAnsi="Georgi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284"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83305" cy="7410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83305" cy="7410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pPr>
    <w:rPr>
      <w:rFonts w:ascii="Arial-BoldMT" w:cs="Arial-BoldMT" w:eastAsia="Arial-BoldMT" w:hAnsi="Arial-BoldMT"/>
      <w:b w:val="1"/>
      <w:sz w:val="22"/>
      <w:szCs w:val="22"/>
      <w:vertAlign w:val="baseline"/>
    </w:rPr>
  </w:style>
  <w:style w:type="paragraph" w:styleId="Heading2">
    <w:name w:val="heading 2"/>
    <w:basedOn w:val="Normal"/>
    <w:next w:val="Normal"/>
    <w:pPr>
      <w:keepNext w:val="1"/>
      <w:ind w:left="576" w:hanging="576"/>
    </w:pPr>
    <w:rPr>
      <w:rFonts w:ascii="ArialMT" w:cs="ArialMT" w:eastAsia="ArialMT" w:hAnsi="ArialMT"/>
      <w:b w:val="1"/>
      <w:sz w:val="20"/>
      <w:szCs w:val="20"/>
      <w:vertAlign w:val="baseline"/>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ind w:left="864" w:hanging="864"/>
    </w:pPr>
    <w:rPr>
      <w:b w:val="1"/>
      <w:sz w:val="28"/>
      <w:szCs w:val="28"/>
      <w:vertAlign w:val="baseline"/>
    </w:rPr>
  </w:style>
  <w:style w:type="paragraph" w:styleId="Heading5">
    <w:name w:val="heading 5"/>
    <w:basedOn w:val="Normal"/>
    <w:next w:val="Normal"/>
    <w:pPr>
      <w:spacing w:after="60" w:before="240" w:lineRule="auto"/>
      <w:ind w:left="1008" w:hanging="1008"/>
    </w:pPr>
    <w:rPr>
      <w:b w:val="1"/>
      <w:i w:val="1"/>
      <w:sz w:val="26"/>
      <w:szCs w:val="26"/>
      <w:vertAlign w:val="baseline"/>
    </w:rPr>
  </w:style>
  <w:style w:type="paragraph" w:styleId="Heading6">
    <w:name w:val="heading 6"/>
    <w:basedOn w:val="Normal"/>
    <w:next w:val="Normal"/>
    <w:pPr>
      <w:spacing w:after="60" w:before="240" w:lineRule="auto"/>
      <w:ind w:left="1152" w:hanging="1152"/>
    </w:pPr>
    <w:rPr>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mfnregister.nl/mediators/regelgeving-en-documenten/" TargetMode="External"/><Relationship Id="rId7" Type="http://schemas.openxmlformats.org/officeDocument/2006/relationships/hyperlink" Target="https://mfnregister.nl/content/uploads/Gedragsregels-voor-de-MfN-registermediator.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